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268 / 254 vom 24. Juni 2009</w:t>
      </w:r>
    </w:p>
    <w:p>
      <w:r>
        <w:t>BL Gerichte, 2009-06-24, DE</w:t>
      </w:r>
    </w:p>
    <w:p>
      <w:r>
        <w:rPr>
          <w:b/>
        </w:rPr>
        <w:t xml:space="preserve">Quelle: </w:t>
      </w:r>
      <w:r>
        <w:t>https://mcp.opencaselaw.ch/entscheid/bl_gerichte_720 2014 268 _ 254</w:t>
      </w:r>
    </w:p>
    <w:p>
      <w:r>
        <w:t>FR: BL_GERICHTE 720 2014 268 / 254 du 24 juin 2009</w:t>
      </w:r>
    </w:p>
    <w:p>
      <w:r>
        <w:t>IT: BL_GERICHTE 720 2014 268 / 254 del 24 giugno 2009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erhobenen - Beschwerden des Versicherten vom 10. September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Die IV-Stelle gab zur Abklärung des medizinischen Sachverhaltes bei der Begutachtungsstelle C. eine polydisziplinäre Begutachtung des Versicherten mit fachärztlichen Untersuchungen in den Bereichen Innere Medizin, Orthopädie, Neurologie und Psychosomatik in Auftrag. In ihrem ausführlichen Gutachten, welches sie am 8. Oktober 2010 erstatteten, erheben die beteiligten Ärzte folgende Diagnosen mit Auswirkungen auf die Arbeitsfähigkeit: (1) eine posttraumatische Arthrose mit schmerzhafter Funktionsstörung des rechten Ellbogens (ICD-10 M19.12) bei (1.1) Status nach Fraktur des Processus coronoideus und der Trochlea humeri rechter Ellbogen nach Sturz am 04.06.2007 und (1.2) Status nach arthroskopischer Arthrolyse des rechten Ellbogens mit Resektion einer Gelenkmaus (März 2008), (2) chronisch intermittierende Spannungskopfschmerzen mit Analgetika induzierter Komponente (ICD-10 G544.2/G44.4), (3) ein schweres Karpaltunnelsyndrom rechts (ICD-10 G56.0) und (4) ein leichtgradiges Sulcusulnaris-Syndrom rechts (ICD-10 G56.2). Eine neuropsychologische Untersuchung sei nicht durchgeführt worden, da aufgrund der eingenommenen starken Psychopharmaka keine Aussage darüber getroffen werden könnte, ob beim Exploranden eine kognitive Beeinträchtigung vorliege. In den erhobenen Explorationen habe eine solche nicht festgestellt werden können, abgesehen davon, dass der Versicherte bei gewissen Fragen etwas ratlos gewirkt habe. In Bezug auf die Arbeitsfähigkeit gelangen die Gutachter zur Auffassung, dass der Explorand aus somatischer Sicht mit Haupteinschränkung durch die Kopfscherzen in einem Umfang von 80 % arbeitsfähig sei. Vermieden werden sollten repetitive mittelschwere bis schwere Tätigkeiten aufgrund des nachgewiesenen Karpaltunnelsyndroms rechts und der Affektion des Nervus ulnaris im Sulcusbereich. Prinzipiell sei das Karpaltunnelsyndrom einer Operation gut zugänglich, so dass postoperativ eine Reevaluation indiziert sei. Im Übrigen sei aufgrund der anamnestischen und diagnostischen Unklarheiten eine präzise Aussage zur psychiatrischpsychosomatischen Diagnose und der daraus resultierenden Arbeitsunfähigkeit nicht zu treffen. Man empfehle diesbezüglich einen diagnostischen Aufenthalt in einer psychiatrischen Klinik für die Dauer von vier bis sechs Wochen. Wichtig scheine insbesondere, nebst einer Medikamentenreduktion, die psychische Verfassung des Exploranden ausserhalb des familiären Umfeldes zu beobachten, um eine mögliche Aggravation ausschliessen zu können. 5.2. Nachdem der Versicherte vom 4. November 2010 bis 17. Dezember 2010 stationär in der psychiatrischen Klinik D. behandelt worden war, gab die IV-Stelle zur weiteren Klärung des psychischen Gesundheitszustandes und der Frage, wie sich dieser auf die Arbeitsfähigkeit auswirkt, eine psychiatrische Begutachtung des Versicherten durch die Klinik E. in Auftrag. In diesem Gutachten, welches in der Folge am 27. Juni 2012 (Versanddatum) erstattet wurde, werden als Diagnosen mit Auswirkungen auf die Arbeitsfähigkeit eine leichte depressive Episode unter Medikation, chronifiziert (ICD-10 F32.0), ein Status nach anamnestischer posttraumatischer Belastungsstörung (ICD-10 F43.1) sowie ein narzisstisch und histrionisch geprägter Persönlichkeitsstil (ICD-10 Z73.1) genannt. Zudem werden als Belastungsfaktoren Probleme mit Bezug auf die Ausbildung sowie das Lese-/ und Schreibvermögen (ICD-10 Z 55) angeführt. Als psychiatrische Diagnose ohne Einfluss auf die Arbeitsfähigkeit wird eine anhaltende somatoforme Schmerzstörung, anamnestisch, derzeit subsyndromal unter Medikation (ICD-10 F45.4), erhoben. In Bezug auf die Arbeitsfähigkeit hält das Gutachten fest, aus rein psychiatrischer Sicht sei dem Exploranden die bisherige Tätigkeit als LKW-Fahrer nicht mehr zumutbar. In einer an das kognitive Leistungsniveau angepassten Tätigkeit in einem einfachen, klar strukturierten Umfeld sei der Explorand hingegen zu 50 % (ca. fünf Stunden täglich) arbeitsfähig. In qualitativer Hinsicht sollten zusätzliche starke externe Stressoren wie z.B. starker Zeit- oder Termin-druck, hochfrequenter bzw. anspruchsvoller Kundenkontakt sowie Arbeiten spätabends oder nachts vermieden werden. Abschliessend wird in Bezug auf die Beurteilung der Arbeitsfähigkeit explizit darauf hingewiesen, dass eine Gewichtung zwischen den ungünstigen Persönlichkeitsmerkmalen des Exploranden auf der einen und den Hinweisen auf eine unsichere Beschwerdevalidität (Diskrepanzen, Inkonsistenzen) auf der anderen Seite schwer falle. Aus gutachterlicher Sicht sei die jetzt festgestellte Arbeitsfähigkeit derzeit am ehesten zutreffend, es erscheine aber nicht unmöglich, dass die Arbeitsfähigkeit des Exploranden unterschätzt werde. Für umso wichtiger halte man deshalb eine baldige Reevaluation in zwölf bis 18 Monaten. 6.1. Die IV-Stelle stützte sich bei der Beurteilung des Gesundheitszustandes und der Arbeitsfähigkeit des Versicherten vollumfänglich auf die Ergebnisse des polydisziplinären Gutachtens der Begutachtungsstelle C. vom 8. Oktober 2010 und des psychiatrischen Gutachtens der Klinik E. vom 27. Juni 2012. Sie ging demzufolge davon aus, dass der Versicherte ab Ablauf des Wartejahres bis 23. Januar 2012, dem Zeitpunkt der Begutachtung durch die Klinik E. , für sämtliche Tätigkeiten vollständig arbeitsunfähig gewesen sei. Für die Zeit danach, d.h. ab 23. Januar 2012, sei dem Beschwerdeführer aus gesamtmedizinischer Sicht eine adaptierte Tätigkeit im Umfang von 50 % zumutbar. 6.2. Der Beschwerdeführer bemängelt vorab, dass das psychiatrische Gutachten der Klinik E. nicht durch eine Fachärztin oder einen Facharzt für Psychiatrie und Psychotherapie verfasst worden sei. Referentin des Gutachtens sei eine Assistenzärztin gewesen, die über den Facharzttitel Neurologie FMH verfüge. Die Oberärztin, welche das Gutachten ebenfalls unterzeichnet habe, sei zwar Fachärztin für Psychiatrie und Psychotherapie, sie sei aber nicht Referentin des Gutachtens gewesen und sie habe dieses auch nicht verfasst, sondern die Begutachtung „nur am Rande begleitet.“ Das Gutachten der Klinik E. entspreche demnach nicht den rechtsprechungsgemässen Kriterien an ein Fachgutachten und es könne bereits aus diesem Grund nicht darauf abgestellt werden. Die IV-Stelle hält diesem Einwand entgegen, bei der Oberärztin, welche das Gutachten unterzeichnet habe, handle es sich um eine Fachärztin für Psychiatrie und Psychotherapie. Sie habe den Versicherten an beiden Untersuchungsterminen mitbegutachtet und das Gutachten in ihrer Verantwortung abgegeben. Zudem würden auch die Qualitätsleitlinien der Schweizerischen Gesellschaft für Psychiatrie und Psychotherapie für die Erstellung psychiatrischer IV-Gutachten besagen, dass bei einer Begutachtung in institutionellem Rahmen Teilaufgaben an eine in psychiatrischpsychotherapeutischer Weiterbildung befindliche Assistenzarztperson delegiert werden könnten. Dies bedinge allerdings, dass die Fachärztin bzw. der Facharzt Teile der Exploration selbst durchführe, sowie die weitere Erstellung des Gutachtens begleite und das Gutachten mit seiner bzw. ihrer Unterschrift finalisiere und verantworte. Diese Voraussetzungen seien vorliegend durch das Mitwirken der über den Facharzttitel verfügenden Oberärztin erfüllt, so dass es sich bei der Expertise der Klinik E. um ein beweisrechtlich verwertbares Fachgutachten handle. Es spricht einiges für die Richtigkeit dieser vorinstanzlichen Auffassung und Ausführungen, hat doch die Oberärztin - soweit ersichtlich - in beiden Explorationen mitgewirkt. Wie es sich damit verhält, kann letztlich aber offen bleiben, da dem Gutachten der Klinik E. , wie nachfolgend zu zeigen sein wird, aus anderen Gründen keine ausschlaggebende Beweiskraft beigemessen werden kann. 6.3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nun allerdings vor, denn das Gutachten wirft insbesondere in Bezug auf die Beurteilung der Arbeitsfähigkeit des Versicherten Fragen auf, weshalb ihm letztlich - entgegen der Sichtweise der IV-Stelle - keine ausschlaggebende Beweiskraft beigemessen werden kann. So wird die gutachterliche Einschätzung, wonach der Explorand in einer leidensadaptierten Tätigkeit zu 50 % (ca. fünf Stunden täglich) arbeitsfähig sei, im Gutachten selber wieder relativiert, wird doch explizit darauf hingewiesen, dass eine Gewichtung zwischen den ungünstigen Persönlichkeitsmerkmalen des Exploranden auf der einen und den Hinweisen auf eine unsichere Beschwerdevalidität (Diskrepanzen, Inkonsistenzen) auf der anderen Seite schwer falle. Aus gutachterlicher Sicht sei die jetzt festgestellte Arbeitsfähigkeit zwar derzeit am ehesten zutreffend, es erscheine aber nicht unmöglich, dass die Arbeitsfähigkeit des Exploranden unterschätzt werde. Für umso wichtiger halte man deshalb eine baldige Reevaluation in zwölf bis 18 Monaten. Trotz dieser klaren Hinweise hat die IV-Stelle jedoch vor Verfügungserlass von einer solchen Reevaluation abgesehen, was sich als umso problematischer erweist, als zwischen der Begutachtung der Klinik E. und dem Verfügungserlass eine Zeitspanne von mehr als zwei Jahren liegt. In Anbetracht der geschilderten gutachterlichen “Vorbehalte“ muss es deshalb als fraglich bezeichnet werden, ob die Beurteilung der Arbeitsfähigkeit im Gutachten der Klinik E. der aktuellen Situation des Versicherten entspricht. Gegen die beweisrechtliche Verwertbarkeit der von der IV-Stelle eingeholten Gutachten spricht sodann, dass vorliegend zwischen den Gutachtern der Begutachtungsstelle C. , auf deren Ergebnisse die IV-Stelle hinsichtlich der Feststellung und Beurteilung der somatischen Leiden abstellt, und den psychiatrischen Fachärztinnen der Klinik E. keine Konsensbeurteilung stattgefunden hat. Die IV-Stelle hält diesem zutreffenden Einwand des Beschwerdeführers zwar entgegen, dass die somatischen Beeinträchtigungen im Gutachten der Klinik E. berücksichtigt worden seien, dies lässt sich den Ausführungen im Gutachten der Klinik E. selber aber nicht entnehmen. In diesem Zusammenhang ist immerhin darauf hinzuweisen, dass dem Exploranden im Gutachten der Begutachtungsstelle C. aus orthopädischer Sicht eine 10 %-ige und aus neurologischer Sicht eine 20 %-ige Arbeitsunfähigkeit attestiert worden war. Somit wären aber eine eigentliche Konsensbesprechung oder aber zumindest schlüssige und nachvollziehbare Ausführungen der psychiatrischen Gutachterinnen zur Frage, ob und gegebenenfalls weshalb sich die somatischen Beeinträchtigungen nicht zusätzlich auf die aus ihrer fachärztlichen Sicht attestierte Arbeitsunfähigkeit auswirken, angezeigt gewesen. Aus den geschilderten Gründen kann somit - entgegen der Auffassung der IV-Stelle - bei der Beurteilung des massgebenden medizinischen Sachverhaltes nicht auf die Ergebnisse des polydisziplinären Gutachtens der Begutachtungsstelle C. vom 8. Oktober 2010 und des psychiatrischen Gutachtens der Klinik E. vom 27. Juni 2012 abgestellt werden. Da die übrigen bei den Akten liegenden medizinischen Berichte ebenfalls keine verlässliche Entscheidgrundlage bilden, erweisen sich die Abklärungsergebnisse aus dem Verwaltungsverfahren als nicht ausreichend beweiskräftig. 6.4 Aus dem Gesagten folgt zusammenfassend, dass die vorhandenen medizinischen Unterlagen keine abschliessende Beurteilung des aktuellen Gesundheitszustandes und insbesondere der im massgebenden Zeitpunkt des Verfügungserlasses bestehenden Arbeitsunfähigkeit des Versicherten zulassen. Die Angelegenheit bedarf insoweit ergänzender Abklärungen. 6.5 Im Entscheid 137 V 210 ff. hat das Bundesgericht die bisherige ständige Rechtsprechung, wonach das kantonale Gericht prinzipiell die freie Wahl hatte, bei festgestellter Abklärungsbedürftigkeit die Sache an den Versicherungsträger zurückzuweisen oder aber selber zur Herstellung der Spruchreife zu schreiten, geändert. Es hat erkannt, dass die Beschwerdeinstanz im Regelfall ein Gerichtsgutachten einzuholen hat und eine Rückweisung an die IV-Stelle nur noch in Ausnahmefällen erfolgen soll. Da es Aufgabe der Verwaltung und nicht der Beschwerdeinstanz ist, für eine erstmalige vollständige Erhebung des massgebenden Sachverhaltes besorgt zu sein, liegt ein solcher Ausnahmefall etwa vor, wenn relevante Aspekte des medizinischen Sachverhaltes durch die Verwaltung nicht abgeklärt worden sind. Gleiches gilt, wenn sich die Verwaltung auf ein Gutachten stützt, welches auf Grund der zwischenzeitlichen Entwicklung nicht mehr die aktuelle medizinische Situation der versicherten Person wiedergibt. Vorliegend muss sich die IV-Stelle diesbezüglich insbesondere vorhalten lassen, dass sie trotz des Umstandes, dass zwischen der Begutachtung der Klinik E. und dem Verfügungserlass mehr als zwei Jahre verstrichen waren, von der im psychiatrischen Gutachten der Klinik E. als wichtig bezeichneten „baldigen Reevaluation in zwölf bis 18 Monaten“ abgesehen und stattdessen vollumfänglich auf die mehr als zwei Jahre alten Ergebnisse des Gutachtens der Klinik E. abgestellt hat. Zudem unterblieb, wie geschildert, eine interdisziplinäre Konsensbeurteilung der Frage, wie sich die in den einzelnen Fachbereichen festgestellten Einschränkungen insgesamt auf die Arbeitsfähigkeit des Versicherten auswirken. Vor diesem Hintergrund erweist sich aber eine Rückweisung an die IV-Stelle trotz der geänderten bundesgerichtlichen Rechtsprechung als zulässig.</w:t>
      </w:r>
    </w:p>
    <w:p>
      <w:r>
        <w:rPr>
          <w:b/>
        </w:rPr>
        <w:t>E. 7</w:t>
      </w:r>
    </w:p>
    <w:p>
      <w:r>
        <w:t>Bevor die vorliegende Angelegenheit zur weiteren medizinischen Abklärung an die IV-Stelle zurückgewiesen werden kann, gilt es noch, den nachfolgenden verfahrensrechtlichen Aspekt zu beachten.</w:t>
      </w:r>
    </w:p>
    <w:p>
      <w:r>
        <w:rPr>
          <w:b/>
        </w:rPr>
        <w:t>E. 7.1</w:t>
      </w:r>
    </w:p>
    <w:p>
      <w:r>
        <w:t>Laut der vom Bundesgericht mit BGE 137 V 314 ff. zur Problematik einer möglichen reformatio in peius bei Rückweisungsentscheiden in IV-Rentenstreitigkeiten vorgenommenen Praxisänderung ist der Beschwerde führenden Partei auch dann Gelegenheit zum Rückzug der Beschwerde zu geben, wenn eine rentenzusprechende Verfügung (z.B. halbe IV-Rente) aufgehoben und die Sache zu weiterer Abklärung und neuer Entscheidung an die IV-Stelle zurückgewiesen werden soll (BGE 137 V 314, Regeste). Das Bundesgericht begründet diese Praxisänderung im Wesentlichen mit der ansonsten bestehenden Ungleichbehandlung gegenüber Beschwerde führenden Versicherten, bei denen das kantonale Versicherungsgericht die verfügungsweise zugesprochene Rente herabsetzt oder sogar aufhebt. Diese Personen hätten, so das Bundesgericht, die Möglichkeit, die Beschwerde zurückzuziehen und so der drohenden Verschlechterung ihrer Rechtsposition zu entgehen. Lasse aber Art. 61. lit. d ATSG den Rückzug der Beschwerde gegen eine als rechtsfehlerhaft erkannte Verfügung zu, müsse dies umso mehr gelten, wenn das erstinstanzliche Gericht den Sachverhalt als unvollständig abgeklärt erachte und die Sache zu weiterer Abklärung und zu neuer Entscheidung an die IV-Stelle zurückweise, weil damit die Rente nicht herabgesetzt oder aufgehoben werde, vielmehr Bestehen und Umfang des Anspruchs (weiterhin) offen seien. Die Rentenzusprechung könnte korrekt sein oder aber auch zu Ungunsten der versicherten Person fehlerhaft. Die Tatsache allein, dass die Herabsetzung oder Aufhebung der verfügungsweise zugesprochenen Rente in einem reformatorischen Entscheid erfolge, stelle keinen Grund für eine Ungleichbehandlung dar, und zwar umso weniger, als auch im erstinstanzlichen Beschwerdeverfahren der Untersuchungsgrundsatz gelte (BGE 137 V 319 E. 3.2.3).</w:t>
      </w:r>
    </w:p>
    <w:p>
      <w:r>
        <w:rPr>
          <w:b/>
        </w:rPr>
        <w:t>E. 7.2</w:t>
      </w:r>
    </w:p>
    <w:p>
      <w:r>
        <w:t>Anfechtungsgegenstand des vorliegenden Beschwerdeverfahrens bildet die Verfügung vom 16. Juli 2014, in welcher die IV-Stelle dem Versicherten für den Zeitraum vom 1. Juni 2008 bis 30. April 2012 eine befristete ganze Rente und mit Wirkung ab 1. Mai 2012 eine unbefristete halbe Rente zugesprochen hat. Da das Kantonsgericht in dieser Angelegenheit nunmehr eine Aufhebung dieser rentenzusprechenden Verfügung und eine Rückweisung der Sache zu weiterer Abklärung und neuer Entscheidung an die IV-Stelle in Betracht zieht, wäre dem Beschwerdeführer nach dem vorstehend Gesagten grundsätzlich vor einem entsprechenden Entscheid des Gerichts Gelegenheit zum Rückzug der Beschwerde zu geben. In diesem Zusammenhang gilt es nun allerdings zu beachten, dass der Versicherte in seiner Beschwerde vom 10. September 2014 - als Eventualbegehren - ausdrücklich beantragt hat, es sei die Angelegenheit in Aufhebung der angefochtenen Verfügung zu weiteren Abklärungen an die Beschwerdegegnerin zurückzuweisen. Mit diesem Antrag bringt der Versicherte bereits hinreichend zum Ausdruck, dass er sich mit einem entsprechenden Vorgehen einverstanden erklären kann und er die Absicht hat, auch dann an der Beschwerde festzuhalten, wenn das Kantonsgericht einen entsprechenden Rückweisungsentscheid ins Auge fassen sollte. Bei dieser Ausgangslage kann deshalb davon abgesehen werden, den Fall heute auszustellen und dem Beschwerdeführer vor Erlass des Rückweisungsentscheides (noch) Gelegenheit zum Rückzug der Beschwerde zu geben.</w:t>
      </w:r>
    </w:p>
    <w:p>
      <w:r>
        <w:rPr>
          <w:b/>
        </w:rPr>
        <w:t>E. 8</w:t>
      </w:r>
    </w:p>
    <w:p>
      <w:r>
        <w:t>Zusammenfassend ist als Ergebnis festzuhalten, dass die angefochtene Verfügung vom 16. Juli 2014 aufzuheben und die Angelegenheit an die IV-Stelle zurückzuweisen ist. Diese wird den aktuellen Gesundheitszustand und insbesondere die Frage der Arbeitsfähigkeit des Versicherten im Rahmen eines polydisziplinären Gutachtens abklären zu lassen haben. Gestützt auf die Ergebnisse der Aktenergänzung wird die IV-Stelle anschliessend über den Rentenanspruch des Beschwerdeführers neu zu befinden haben. Die vorliegende Beschwerde ist in diesem Sinne gutzuheissen.</w:t>
      </w:r>
    </w:p>
    <w:p>
      <w:r>
        <w:rPr>
          <w:b/>
        </w:rPr>
        <w:t>E. 9</w:t>
      </w:r>
    </w:p>
    <w:p>
      <w:r>
        <w:t>Abschliessend bleibt über die Kosten des Verfahrens zu befinden.</w:t>
      </w:r>
    </w:p>
    <w:p>
      <w:r>
        <w:rPr>
          <w:b/>
        </w:rPr>
        <w:t>E. 9.1</w:t>
      </w:r>
    </w:p>
    <w:p>
      <w:r>
        <w:t>Beim Entscheid über die Verlegung der Verfahrens- und der Parteikosten ist grundsätzlich auf den Prozessausgang abzustellen. Hebt das Kantonsgericht eine bei ihm angefochtene Verfügung auf und weist es die Angelegenheit zu ergänzender Abklärung und neuer Beurteilung an die Verwaltung zurück, so gilt in prozessualer Hinsicht die Beschwerde führende Partei als (vollständig) obsiegende und die IV-Stelle als unterliegende Partei (BGE 137 V 61 f. E. 2.1 und 2.2, BGE 132 V 235 E. 6.2, je mit Hinweisen).</w:t>
      </w:r>
    </w:p>
    <w:p>
      <w:r>
        <w:rPr>
          <w:b/>
        </w:rPr>
        <w:t>E. 9.2</w:t>
      </w:r>
    </w:p>
    <w:p>
      <w:r>
        <w:t>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w:t>
      </w:r>
    </w:p>
    <w:p>
      <w:r>
        <w:rPr>
          <w:b/>
        </w:rPr>
        <w:t>E. 9.3</w:t>
      </w:r>
    </w:p>
    <w:p>
      <w:r>
        <w:t>Laut Art. 61 lit. g ATSG hat die obsiegende Beschwerde führende Person Anspruch auf Ersatz der Parteikosten. Da der Beschwerdeführer obsiegende Partei ist, ist ihm eine Parteientschädigung zu Lasten der IV-Stelle zuzusprechen. Die Rechtsvertreterin des Beschwerdeführers hat in ihrer Honorarnote vom 2. Oktober 2014 für das vorliegende Verfahren einen Zeitaufwand von 9 Stunden und 50 Minuten geltend gemacht. Dieser Aufwand erweist sich umfangmässig in Anbetracht der sich stellenden Sachverhalts- und Rechtsfragen als angemessen. Die Bemühungen sind zu dem in Sozialversicherungsprozessen praxisgemäss für durchschnittliche Fälle zur Anwendung gelangenden Stundenansatz von 250 Franken zu entschädigen. Nicht zu beanstanden sind sodann die in der Honorarnote ausgewiesenen Auslagen von Fr. 63.--. Dem Beschwerdeführer ist deshalb eine Parteientschädigung in der Höhe von Fr. 2‘723.-- (9 Stunden und 50 Minuten à Fr. 250.-- zuzüglich Auslagen von Fr. 63.-- + 8 % Mehrwertsteuer) zu Lasten der IV-Stelle zuzusprechen.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16. Juli 2014 aufgehoben und die Angelegenheit zur weiteren Abklärung im Sinne der Erwägungen und zum Erlass einer neuen Verfügung an die IV-Stelle Basel-Landschaft zurückgewiesen wird. 2. Es werden keine Verfahrenskosten erhoben. 3. Die IV-Stelle Basel-Landschaft hat dem Beschwerdeführer eine Parteientschädigung in der Höhe von Fr. 2‘723.--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